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81" w:rsidRPr="006D252A" w:rsidRDefault="00D53E81" w:rsidP="00D53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52A">
        <w:rPr>
          <w:rFonts w:ascii="Times New Roman" w:hAnsi="Times New Roman" w:cs="Times New Roman"/>
          <w:b/>
          <w:sz w:val="28"/>
          <w:szCs w:val="28"/>
        </w:rPr>
        <w:t>Рекомендации по подготовке аттестационных материалов педагогических работников организаций, осуществляющих образовательную деятельность</w:t>
      </w:r>
    </w:p>
    <w:p w:rsidR="00D53E81" w:rsidRPr="006D252A" w:rsidRDefault="00D53E81" w:rsidP="00D5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81" w:rsidRPr="00D53E81" w:rsidRDefault="00D53E81" w:rsidP="00D53E81">
      <w:pPr>
        <w:spacing w:after="0" w:line="240" w:lineRule="auto"/>
        <w:ind w:left="-709"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E81">
        <w:rPr>
          <w:rFonts w:ascii="Times New Roman" w:hAnsi="Times New Roman" w:cs="Times New Roman"/>
          <w:sz w:val="28"/>
          <w:szCs w:val="28"/>
        </w:rPr>
        <w:t xml:space="preserve">В состав аттестационных материалов </w:t>
      </w:r>
      <w:r w:rsidRPr="00D53E81">
        <w:rPr>
          <w:rFonts w:ascii="Times New Roman" w:hAnsi="Times New Roman" w:cs="Times New Roman"/>
          <w:b/>
          <w:sz w:val="28"/>
          <w:szCs w:val="28"/>
        </w:rPr>
        <w:t>входят</w:t>
      </w:r>
      <w:r w:rsidRPr="00D53E81">
        <w:rPr>
          <w:rFonts w:ascii="Times New Roman" w:hAnsi="Times New Roman" w:cs="Times New Roman"/>
          <w:sz w:val="28"/>
          <w:szCs w:val="28"/>
        </w:rPr>
        <w:t>:</w:t>
      </w:r>
    </w:p>
    <w:p w:rsidR="00D53E81" w:rsidRPr="00D53E81" w:rsidRDefault="00D53E81" w:rsidP="00D53E81">
      <w:pPr>
        <w:spacing w:after="0" w:line="240" w:lineRule="auto"/>
        <w:ind w:left="-709" w:right="-285"/>
        <w:jc w:val="both"/>
        <w:rPr>
          <w:rFonts w:ascii="Times New Roman" w:hAnsi="Times New Roman" w:cs="Times New Roman"/>
          <w:sz w:val="28"/>
          <w:szCs w:val="28"/>
        </w:rPr>
      </w:pPr>
      <w:r w:rsidRPr="00D53E81">
        <w:rPr>
          <w:rFonts w:ascii="Times New Roman" w:hAnsi="Times New Roman" w:cs="Times New Roman"/>
          <w:sz w:val="28"/>
          <w:szCs w:val="28"/>
        </w:rPr>
        <w:t xml:space="preserve">- </w:t>
      </w:r>
      <w:r w:rsidRPr="00D53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  <w:r w:rsidRPr="00D53E81">
        <w:rPr>
          <w:rFonts w:ascii="Times New Roman" w:hAnsi="Times New Roman" w:cs="Times New Roman"/>
          <w:sz w:val="28"/>
          <w:szCs w:val="28"/>
        </w:rPr>
        <w:t xml:space="preserve"> (образец размещен на официальном сайте департамента образования и науки Кемеровской области </w:t>
      </w:r>
      <w:hyperlink r:id="rId5" w:history="1">
        <w:r w:rsidRPr="00D53E8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53E81">
          <w:rPr>
            <w:rStyle w:val="a8"/>
            <w:rFonts w:ascii="Times New Roman" w:hAnsi="Times New Roman" w:cs="Times New Roman"/>
            <w:sz w:val="28"/>
            <w:szCs w:val="28"/>
          </w:rPr>
          <w:t>://образование42.рф</w:t>
        </w:r>
      </w:hyperlink>
      <w:r w:rsidRPr="00D53E81">
        <w:rPr>
          <w:rFonts w:ascii="Times New Roman" w:hAnsi="Times New Roman" w:cs="Times New Roman"/>
          <w:sz w:val="28"/>
          <w:szCs w:val="28"/>
        </w:rPr>
        <w:t xml:space="preserve"> или на сайте </w:t>
      </w:r>
      <w:proofErr w:type="spellStart"/>
      <w:r w:rsidRPr="00D53E81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D53E8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53E8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53E81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53E8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ipk</w:t>
        </w:r>
        <w:proofErr w:type="spellEnd"/>
        <w:r w:rsidRPr="00D53E8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53E8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kuz</w:t>
        </w:r>
        <w:proofErr w:type="spellEnd"/>
        <w:r w:rsidRPr="00D53E81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53E8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D53E8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3E8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53E81">
        <w:rPr>
          <w:rFonts w:ascii="Times New Roman" w:hAnsi="Times New Roman" w:cs="Times New Roman"/>
          <w:sz w:val="28"/>
          <w:szCs w:val="28"/>
        </w:rPr>
        <w:t>;</w:t>
      </w:r>
    </w:p>
    <w:p w:rsidR="00D53E81" w:rsidRPr="00D53E81" w:rsidRDefault="00D53E81" w:rsidP="00D53E81">
      <w:pPr>
        <w:spacing w:after="0" w:line="240" w:lineRule="auto"/>
        <w:ind w:left="-709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E81">
        <w:rPr>
          <w:rFonts w:ascii="Times New Roman" w:hAnsi="Times New Roman" w:cs="Times New Roman"/>
          <w:sz w:val="28"/>
          <w:szCs w:val="28"/>
        </w:rPr>
        <w:t xml:space="preserve">- </w:t>
      </w:r>
      <w:r w:rsidRPr="00D53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любой документ</w:t>
      </w:r>
      <w:r w:rsidRPr="00D5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53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подтверждающий наличие первой или высшей квалификационной категории, </w:t>
      </w:r>
      <w:r w:rsidRPr="00D53E8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если она была ранее установлена</w:t>
      </w:r>
      <w:r w:rsidRPr="00D53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педагогическому работнику</w:t>
      </w:r>
      <w:r w:rsidRPr="00D5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аттестационного листа, копия трудовой книжки, копия выписки из приказа об установлении квалификационной категории и т.п.). Обращаем ваше внимание, что </w:t>
      </w:r>
      <w:r w:rsidRPr="00D53E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предоставляется один документ!!!</w:t>
      </w:r>
    </w:p>
    <w:p w:rsidR="00D53E81" w:rsidRPr="00D53E81" w:rsidRDefault="00D53E81" w:rsidP="00D53E81">
      <w:pPr>
        <w:spacing w:after="0" w:line="240" w:lineRule="auto"/>
        <w:ind w:left="-709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E81" w:rsidRPr="00D53E81" w:rsidRDefault="00D53E81" w:rsidP="00D53E81">
      <w:pPr>
        <w:spacing w:after="0" w:line="240" w:lineRule="auto"/>
        <w:ind w:left="-709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E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состав аттестационных материалов </w:t>
      </w:r>
      <w:r w:rsidRPr="00D53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рекомендуется включить документы</w:t>
      </w:r>
      <w:r w:rsidRPr="00D5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подтверждающие результаты педагогической деятельности (например, </w:t>
      </w:r>
      <w:r w:rsidRPr="00D53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информационно-аналитическая справка</w:t>
      </w:r>
      <w:r w:rsidRPr="00D5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подписанная руководителем </w:t>
      </w:r>
      <w:r w:rsidRPr="00D53E8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или</w:t>
      </w:r>
      <w:r w:rsidRPr="00D5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документов). Наличие этих документов является подтверждением достоверности предоставленной в заявлении информации, а также позволяет провести всестороннюю экспертизу профессиональной деятельности педагога с учетом мнения администрации образовательной организации.</w:t>
      </w:r>
    </w:p>
    <w:p w:rsidR="00D53E81" w:rsidRPr="00D53E81" w:rsidRDefault="00D53E81" w:rsidP="00D53E81">
      <w:pPr>
        <w:spacing w:after="0" w:line="240" w:lineRule="auto"/>
        <w:ind w:left="-709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E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Кроме того, в случае необходимости эксперты имеют право запросить дополнительные материалы и информацию у педагогического работника или его работодателя.</w:t>
      </w:r>
    </w:p>
    <w:p w:rsidR="00D53E81" w:rsidRPr="00D53E81" w:rsidRDefault="00D53E81" w:rsidP="00D53E81">
      <w:pPr>
        <w:spacing w:after="0" w:line="240" w:lineRule="auto"/>
        <w:ind w:left="-709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E81" w:rsidRPr="00D53E81" w:rsidRDefault="00D53E81" w:rsidP="00D53E81">
      <w:pPr>
        <w:spacing w:after="0" w:line="240" w:lineRule="auto"/>
        <w:ind w:left="-709" w:right="-285"/>
        <w:jc w:val="both"/>
        <w:rPr>
          <w:rFonts w:ascii="Times New Roman" w:hAnsi="Times New Roman" w:cs="Times New Roman"/>
          <w:sz w:val="28"/>
          <w:szCs w:val="28"/>
        </w:rPr>
      </w:pPr>
      <w:r w:rsidRPr="00D53E81">
        <w:rPr>
          <w:rFonts w:ascii="Times New Roman" w:hAnsi="Times New Roman" w:cs="Times New Roman"/>
          <w:sz w:val="28"/>
          <w:szCs w:val="28"/>
        </w:rPr>
        <w:tab/>
      </w:r>
      <w:r w:rsidRPr="00D53E81">
        <w:rPr>
          <w:rFonts w:ascii="Times New Roman" w:hAnsi="Times New Roman" w:cs="Times New Roman"/>
          <w:b/>
          <w:sz w:val="28"/>
          <w:szCs w:val="28"/>
        </w:rPr>
        <w:t>Аттестационные материалы подаются одним из способов</w:t>
      </w:r>
      <w:r w:rsidRPr="00D53E81">
        <w:rPr>
          <w:rFonts w:ascii="Times New Roman" w:hAnsi="Times New Roman" w:cs="Times New Roman"/>
          <w:sz w:val="28"/>
          <w:szCs w:val="28"/>
        </w:rPr>
        <w:t>:</w:t>
      </w:r>
    </w:p>
    <w:p w:rsidR="00D53E81" w:rsidRPr="00D53E81" w:rsidRDefault="00D53E81" w:rsidP="00D53E81">
      <w:pPr>
        <w:spacing w:after="0" w:line="240" w:lineRule="auto"/>
        <w:ind w:left="-709" w:right="-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D53E81">
          <w:rPr>
            <w:rStyle w:val="a8"/>
            <w:rFonts w:ascii="Times New Roman" w:eastAsiaTheme="minorEastAsia" w:hAnsi="Times New Roman" w:cs="Times New Roman"/>
            <w:kern w:val="24"/>
            <w:sz w:val="28"/>
            <w:szCs w:val="28"/>
            <w:lang w:val="en-US" w:eastAsia="ru-RU"/>
          </w:rPr>
          <w:t>https</w:t>
        </w:r>
      </w:hyperlink>
      <w:hyperlink r:id="rId8" w:history="1">
        <w:proofErr w:type="gramStart"/>
        <w:r w:rsidRPr="00D53E8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</w:t>
        </w:r>
        <w:proofErr w:type="gramEnd"/>
        <w:r w:rsidRPr="00D53E8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Pr="00D53E8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rg</w:t>
        </w:r>
        <w:r w:rsidRPr="00D53E8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r w:rsidRPr="00D53E8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kuz</w:t>
        </w:r>
        <w:r w:rsidRPr="00D53E8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-</w:t>
        </w:r>
        <w:r w:rsidRPr="00D53E8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edu</w:t>
        </w:r>
        <w:r w:rsidRPr="00D53E8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r w:rsidRPr="00D53E8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  <w:r w:rsidRPr="00D53E8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Pr="00D53E8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zayavka</w:t>
        </w:r>
      </w:hyperlink>
      <w:hyperlink r:id="rId9" w:history="1">
        <w:r w:rsidRPr="00D53E8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</w:hyperlink>
      <w:r w:rsidRPr="00D53E8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электронная платформа аттестационных процедур,</w:t>
      </w:r>
    </w:p>
    <w:p w:rsidR="00D53E81" w:rsidRPr="00D53E81" w:rsidRDefault="00D53E81" w:rsidP="00D53E81">
      <w:pPr>
        <w:pStyle w:val="a7"/>
        <w:spacing w:after="0" w:line="240" w:lineRule="auto"/>
        <w:ind w:left="-709"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E81">
        <w:rPr>
          <w:rFonts w:ascii="Times New Roman" w:hAnsi="Times New Roman" w:cs="Times New Roman"/>
          <w:sz w:val="28"/>
          <w:szCs w:val="28"/>
          <w:u w:val="single"/>
        </w:rPr>
        <w:t>По электронной почте</w:t>
      </w:r>
      <w:hyperlink r:id="rId10" w:history="1">
        <w:r w:rsidRPr="00D53E8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kemocpom</w:t>
        </w:r>
      </w:hyperlink>
      <w:hyperlink r:id="rId11" w:history="1">
        <w:r w:rsidRPr="00D53E81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</w:hyperlink>
      <w:hyperlink r:id="rId12" w:history="1">
        <w:r w:rsidRPr="00D53E8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</w:hyperlink>
      <w:hyperlink r:id="rId13" w:history="1">
        <w:r w:rsidRPr="00D53E8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  <w:hyperlink r:id="rId14" w:history="1">
        <w:r w:rsidRPr="00D53E8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53E81">
        <w:rPr>
          <w:rStyle w:val="a8"/>
          <w:rFonts w:ascii="Times New Roman" w:hAnsi="Times New Roman" w:cs="Times New Roman"/>
          <w:sz w:val="28"/>
          <w:szCs w:val="28"/>
        </w:rPr>
        <w:t>,</w:t>
      </w:r>
    </w:p>
    <w:p w:rsidR="00D53E81" w:rsidRPr="00D53E81" w:rsidRDefault="00D53E81" w:rsidP="00D53E81">
      <w:pPr>
        <w:pStyle w:val="a7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8"/>
          <w:szCs w:val="28"/>
        </w:rPr>
      </w:pPr>
      <w:r w:rsidRPr="00D53E81">
        <w:rPr>
          <w:rFonts w:ascii="Times New Roman" w:hAnsi="Times New Roman" w:cs="Times New Roman"/>
          <w:sz w:val="28"/>
          <w:szCs w:val="28"/>
          <w:u w:val="single"/>
        </w:rPr>
        <w:t>Лично или Почтой России</w:t>
      </w:r>
      <w:r w:rsidRPr="00D53E81">
        <w:rPr>
          <w:rFonts w:ascii="Times New Roman" w:hAnsi="Times New Roman" w:cs="Times New Roman"/>
          <w:sz w:val="28"/>
          <w:szCs w:val="28"/>
        </w:rPr>
        <w:t xml:space="preserve"> (письмом с уведомлением) направляются в адрес </w:t>
      </w:r>
      <w:proofErr w:type="spellStart"/>
      <w:r w:rsidRPr="00D53E81">
        <w:rPr>
          <w:rFonts w:ascii="Times New Roman" w:hAnsi="Times New Roman" w:cs="Times New Roman"/>
          <w:bCs/>
          <w:sz w:val="28"/>
          <w:szCs w:val="28"/>
        </w:rPr>
        <w:t>КРИПКиПРО</w:t>
      </w:r>
      <w:proofErr w:type="spellEnd"/>
      <w:r w:rsidRPr="00D53E81">
        <w:rPr>
          <w:rFonts w:ascii="Times New Roman" w:hAnsi="Times New Roman" w:cs="Times New Roman"/>
          <w:bCs/>
          <w:sz w:val="28"/>
          <w:szCs w:val="28"/>
        </w:rPr>
        <w:t>, Центр экспертизы профессиональной деятельности работников образования</w:t>
      </w:r>
      <w:r w:rsidRPr="00D53E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3E81" w:rsidRPr="00D53E81" w:rsidRDefault="00D53E81" w:rsidP="00D53E81">
      <w:pPr>
        <w:pStyle w:val="a7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8"/>
          <w:szCs w:val="28"/>
        </w:rPr>
      </w:pPr>
      <w:r w:rsidRPr="00D53E81">
        <w:rPr>
          <w:rFonts w:ascii="Times New Roman" w:hAnsi="Times New Roman" w:cs="Times New Roman"/>
          <w:sz w:val="28"/>
          <w:szCs w:val="28"/>
        </w:rPr>
        <w:t xml:space="preserve">(650070, г. Кемерово, </w:t>
      </w:r>
      <w:r w:rsidRPr="00D53E81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D53E81">
        <w:rPr>
          <w:rFonts w:ascii="Times New Roman" w:hAnsi="Times New Roman" w:cs="Times New Roman"/>
          <w:bCs/>
          <w:sz w:val="28"/>
          <w:szCs w:val="28"/>
        </w:rPr>
        <w:t>Заузелкова</w:t>
      </w:r>
      <w:proofErr w:type="spellEnd"/>
      <w:r w:rsidRPr="00D53E81">
        <w:rPr>
          <w:rFonts w:ascii="Times New Roman" w:hAnsi="Times New Roman" w:cs="Times New Roman"/>
          <w:bCs/>
          <w:sz w:val="28"/>
          <w:szCs w:val="28"/>
        </w:rPr>
        <w:t xml:space="preserve">, 3, </w:t>
      </w:r>
      <w:proofErr w:type="spellStart"/>
      <w:r w:rsidRPr="00D53E81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D53E81">
        <w:rPr>
          <w:rFonts w:ascii="Times New Roman" w:hAnsi="Times New Roman" w:cs="Times New Roman"/>
          <w:bCs/>
          <w:sz w:val="28"/>
          <w:szCs w:val="28"/>
        </w:rPr>
        <w:t>. 313, телефон 8(3842) 37-80-33</w:t>
      </w:r>
      <w:r w:rsidRPr="00D53E81">
        <w:rPr>
          <w:rFonts w:ascii="Times New Roman" w:hAnsi="Times New Roman" w:cs="Times New Roman"/>
          <w:sz w:val="28"/>
          <w:szCs w:val="28"/>
        </w:rPr>
        <w:t>)</w:t>
      </w:r>
    </w:p>
    <w:p w:rsidR="00D53E81" w:rsidRPr="00D53E81" w:rsidRDefault="00D53E81" w:rsidP="00D53E81">
      <w:pPr>
        <w:spacing w:after="0" w:line="240" w:lineRule="auto"/>
        <w:ind w:left="-709"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E81">
        <w:rPr>
          <w:rFonts w:ascii="Times New Roman" w:hAnsi="Times New Roman" w:cs="Times New Roman"/>
          <w:sz w:val="28"/>
          <w:szCs w:val="28"/>
        </w:rPr>
        <w:t>Дополнительные материалы или информация по запросам экспертов может быть представлена одним из способов:</w:t>
      </w:r>
    </w:p>
    <w:p w:rsidR="00D53E81" w:rsidRPr="00D53E81" w:rsidRDefault="00D53E81" w:rsidP="00D53E81">
      <w:pPr>
        <w:spacing w:after="0" w:line="240" w:lineRule="auto"/>
        <w:ind w:left="-709"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E81">
        <w:rPr>
          <w:rFonts w:ascii="Times New Roman" w:hAnsi="Times New Roman" w:cs="Times New Roman"/>
          <w:sz w:val="28"/>
          <w:szCs w:val="28"/>
          <w:u w:val="single"/>
        </w:rPr>
        <w:t>Лично</w:t>
      </w:r>
      <w:r w:rsidRPr="00D53E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53E81">
        <w:rPr>
          <w:rFonts w:ascii="Times New Roman" w:hAnsi="Times New Roman" w:cs="Times New Roman"/>
          <w:bCs/>
          <w:sz w:val="28"/>
          <w:szCs w:val="28"/>
        </w:rPr>
        <w:t>КРИПКиПРО</w:t>
      </w:r>
      <w:proofErr w:type="spellEnd"/>
      <w:r w:rsidRPr="00D53E81">
        <w:rPr>
          <w:rFonts w:ascii="Times New Roman" w:hAnsi="Times New Roman" w:cs="Times New Roman"/>
          <w:bCs/>
          <w:sz w:val="28"/>
          <w:szCs w:val="28"/>
        </w:rPr>
        <w:t>, Центр экспертизы профессиональной деятельности работников образования (</w:t>
      </w:r>
      <w:proofErr w:type="gramStart"/>
      <w:r w:rsidRPr="00D53E81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D53E81">
        <w:rPr>
          <w:rFonts w:ascii="Times New Roman" w:hAnsi="Times New Roman" w:cs="Times New Roman"/>
          <w:bCs/>
          <w:sz w:val="28"/>
          <w:szCs w:val="28"/>
        </w:rPr>
        <w:t xml:space="preserve">. Кемерово, ул. </w:t>
      </w:r>
      <w:proofErr w:type="spellStart"/>
      <w:r w:rsidRPr="00D53E81">
        <w:rPr>
          <w:rFonts w:ascii="Times New Roman" w:hAnsi="Times New Roman" w:cs="Times New Roman"/>
          <w:bCs/>
          <w:sz w:val="28"/>
          <w:szCs w:val="28"/>
        </w:rPr>
        <w:t>Заузелкова</w:t>
      </w:r>
      <w:proofErr w:type="spellEnd"/>
      <w:r w:rsidRPr="00D53E81">
        <w:rPr>
          <w:rFonts w:ascii="Times New Roman" w:hAnsi="Times New Roman" w:cs="Times New Roman"/>
          <w:bCs/>
          <w:sz w:val="28"/>
          <w:szCs w:val="28"/>
        </w:rPr>
        <w:t xml:space="preserve">, 3, </w:t>
      </w:r>
      <w:proofErr w:type="spellStart"/>
      <w:r w:rsidRPr="00D53E81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D53E81">
        <w:rPr>
          <w:rFonts w:ascii="Times New Roman" w:hAnsi="Times New Roman" w:cs="Times New Roman"/>
          <w:bCs/>
          <w:sz w:val="28"/>
          <w:szCs w:val="28"/>
        </w:rPr>
        <w:t>. 313, телефон 8 (3842) 37-80-33)</w:t>
      </w:r>
    </w:p>
    <w:p w:rsidR="00D53E81" w:rsidRPr="006D252A" w:rsidRDefault="00D53E81" w:rsidP="00D5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833" w:rsidRPr="00E62833" w:rsidRDefault="00E62833" w:rsidP="00E628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составлению заявления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КРИПКиПРО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62833" w:rsidRPr="00E62833" w:rsidRDefault="00E62833" w:rsidP="00E62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Заявление предоставляется в печатном виде.</w:t>
      </w:r>
    </w:p>
    <w:p w:rsidR="00E62833" w:rsidRPr="00E62833" w:rsidRDefault="00E62833" w:rsidP="00E6283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строке о наличии квалификационной категории необходимо указать срок действия квалификационной категории (число, месяц год начала и окончания срока).</w:t>
      </w:r>
    </w:p>
    <w:p w:rsidR="00E62833" w:rsidRPr="00E62833" w:rsidRDefault="00E62833" w:rsidP="00E6283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</w:t>
      </w:r>
      <w:proofErr w:type="gramStart"/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строки</w:t>
      </w:r>
      <w:r w:rsidRPr="00E62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«Основанием для аттестации на указанную в заявлении квалификационную категорию считаю следующие результаты работы»</w:t>
      </w: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руководствоваться основаниями для установления первой или высшей квалификационной категории, указанными в п. 36 и 37 Порядка проведения аттестации педагогических работников организаций,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уществляющих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образовательную</w:t>
      </w: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(утв. приказом </w:t>
      </w:r>
      <w:proofErr w:type="spellStart"/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№276 от 7 апреля 2014 года).</w:t>
      </w:r>
      <w:proofErr w:type="gramEnd"/>
    </w:p>
    <w:p w:rsidR="00267A8C" w:rsidRPr="00267A8C" w:rsidRDefault="00E62833" w:rsidP="00267A8C">
      <w:pPr>
        <w:keepNext/>
        <w:keepLines/>
        <w:tabs>
          <w:tab w:val="left" w:pos="142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7A8C" w:rsidRPr="00267A8C">
        <w:rPr>
          <w:rFonts w:ascii="Times New Roman" w:hAnsi="Times New Roman" w:cs="Times New Roman"/>
          <w:sz w:val="28"/>
          <w:szCs w:val="28"/>
          <w:u w:val="single"/>
        </w:rPr>
        <w:t xml:space="preserve">Основания для установления </w:t>
      </w:r>
      <w:r w:rsidR="00267A8C" w:rsidRPr="00267A8C">
        <w:rPr>
          <w:rFonts w:ascii="Times New Roman" w:hAnsi="Times New Roman" w:cs="Times New Roman"/>
          <w:b/>
          <w:sz w:val="28"/>
          <w:szCs w:val="28"/>
          <w:u w:val="single"/>
        </w:rPr>
        <w:t>первой</w:t>
      </w:r>
      <w:r w:rsidR="00267A8C" w:rsidRPr="00267A8C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квалификационной категории:</w:t>
      </w:r>
    </w:p>
    <w:p w:rsidR="00267A8C" w:rsidRPr="00267A8C" w:rsidRDefault="00267A8C" w:rsidP="00267A8C">
      <w:pPr>
        <w:pStyle w:val="ConsPlusNormal"/>
        <w:numPr>
          <w:ilvl w:val="0"/>
          <w:numId w:val="3"/>
        </w:numPr>
        <w:tabs>
          <w:tab w:val="left" w:pos="142"/>
        </w:tabs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8C">
        <w:rPr>
          <w:rFonts w:ascii="Times New Roman" w:hAnsi="Times New Roman" w:cs="Times New Roman"/>
          <w:sz w:val="28"/>
          <w:szCs w:val="28"/>
        </w:rPr>
        <w:t xml:space="preserve">Стабильные положительные результаты освоения </w:t>
      </w:r>
      <w:proofErr w:type="gramStart"/>
      <w:r w:rsidRPr="00267A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67A8C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итогам мониторингов, проводимых организацией;</w:t>
      </w:r>
    </w:p>
    <w:p w:rsidR="00267A8C" w:rsidRPr="00267A8C" w:rsidRDefault="00267A8C" w:rsidP="00267A8C">
      <w:pPr>
        <w:pStyle w:val="ConsPlusNormal"/>
        <w:numPr>
          <w:ilvl w:val="0"/>
          <w:numId w:val="3"/>
        </w:numPr>
        <w:tabs>
          <w:tab w:val="left" w:pos="142"/>
        </w:tabs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8C">
        <w:rPr>
          <w:rFonts w:ascii="Times New Roman" w:hAnsi="Times New Roman" w:cs="Times New Roman"/>
          <w:sz w:val="28"/>
          <w:szCs w:val="28"/>
        </w:rPr>
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№662;</w:t>
      </w:r>
    </w:p>
    <w:p w:rsidR="00267A8C" w:rsidRPr="00267A8C" w:rsidRDefault="00267A8C" w:rsidP="00267A8C">
      <w:pPr>
        <w:pStyle w:val="ConsPlusNormal"/>
        <w:numPr>
          <w:ilvl w:val="0"/>
          <w:numId w:val="3"/>
        </w:numPr>
        <w:tabs>
          <w:tab w:val="left" w:pos="142"/>
        </w:tabs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8C">
        <w:rPr>
          <w:rFonts w:ascii="Times New Roman" w:hAnsi="Times New Roman" w:cs="Times New Roman"/>
          <w:sz w:val="28"/>
          <w:szCs w:val="28"/>
        </w:rPr>
        <w:t>Выявление развития у обучающихся способностей к научной (интеллектуальной), творческой, физкультурно-спортивной деятельности;</w:t>
      </w:r>
    </w:p>
    <w:p w:rsidR="00267A8C" w:rsidRPr="00267A8C" w:rsidRDefault="00267A8C" w:rsidP="00267A8C">
      <w:pPr>
        <w:pStyle w:val="ConsPlusNormal"/>
        <w:numPr>
          <w:ilvl w:val="0"/>
          <w:numId w:val="3"/>
        </w:numPr>
        <w:tabs>
          <w:tab w:val="left" w:pos="142"/>
        </w:tabs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8C">
        <w:rPr>
          <w:rFonts w:ascii="Times New Roman" w:hAnsi="Times New Roman" w:cs="Times New Roman"/>
          <w:sz w:val="28"/>
          <w:szCs w:val="28"/>
        </w:rPr>
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442" w:rsidRPr="00541442" w:rsidRDefault="00541442" w:rsidP="00541442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442">
        <w:rPr>
          <w:rFonts w:ascii="Times New Roman" w:hAnsi="Times New Roman" w:cs="Times New Roman"/>
          <w:b/>
          <w:bCs/>
          <w:sz w:val="28"/>
          <w:szCs w:val="28"/>
        </w:rPr>
        <w:t>Примерное содержание заявления</w:t>
      </w:r>
    </w:p>
    <w:p w:rsidR="00541442" w:rsidRPr="00541442" w:rsidRDefault="00541442" w:rsidP="00541442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442">
        <w:rPr>
          <w:rFonts w:ascii="Times New Roman" w:hAnsi="Times New Roman" w:cs="Times New Roman"/>
          <w:b/>
          <w:bCs/>
          <w:sz w:val="28"/>
          <w:szCs w:val="28"/>
        </w:rPr>
        <w:t>на первую квалификационную категорию</w:t>
      </w:r>
    </w:p>
    <w:p w:rsidR="00541442" w:rsidRPr="00541442" w:rsidRDefault="00541442" w:rsidP="00541442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88" w:type="dxa"/>
        <w:tblCellSpacing w:w="15" w:type="dxa"/>
        <w:tblInd w:w="-873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4F8F8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45"/>
        <w:gridCol w:w="7243"/>
      </w:tblGrid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Примерное содержание информации в заявлении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 I. Стабильные положительные результаты освоения </w:t>
            </w:r>
            <w:proofErr w:type="gramStart"/>
            <w:r w:rsidRPr="0086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86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образовательных программ по итогам мониторингов, проводимых организацией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171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10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719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отражаются результаты за весь </w:t>
            </w:r>
            <w:proofErr w:type="spellStart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 период (желательно по годам, в числовом выражении (проценты, баллы и др.)</w:t>
            </w:r>
            <w:proofErr w:type="gramEnd"/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8557D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19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8557D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(в том числе профессиональное)</w:t>
            </w:r>
          </w:p>
        </w:tc>
        <w:tc>
          <w:tcPr>
            <w:tcW w:w="719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 II.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№662: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обеспечение доступности общего образования и сохранение численности контингента, обучающегося по программам дополнительного образования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171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10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71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отражается реализация дополнительных </w:t>
            </w:r>
            <w:proofErr w:type="spellStart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для детей дошкольного возраста, в том числе, не посещающих ДОО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8557D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1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8557D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отражается реализация дополнительных общеобразовательных программ, программ внеурочной деятельности и др., в том числе для детей с особыми образовательными потребностями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8557D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(в том числе профессиональное)</w:t>
            </w:r>
          </w:p>
        </w:tc>
        <w:tc>
          <w:tcPr>
            <w:tcW w:w="71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8557D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 xml:space="preserve">отражается информация по сохранению контингента </w:t>
            </w:r>
            <w:proofErr w:type="gramStart"/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, осваивающих дополнительные образовательные программы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 и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нформационное обеспечение образовательного процесса, в том числе размещение материалов на сайте ОО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171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10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719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Деятельность осуществляется систематически или периодически; размещение материалов на сайте ОО, подготовка информационных стендов, школьных газет и иные способы информирования об образовательном процессе, в том числе ведение электронного журнала, электронного дневника и т.д.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19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(в том числе профессиональное)</w:t>
            </w:r>
          </w:p>
        </w:tc>
        <w:tc>
          <w:tcPr>
            <w:tcW w:w="719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Показатель: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результаты реализации педагогом коррекционных программ или программ работы с одаренными детьми, программ индивидуальной работы и т.д.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171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10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719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отражаются результаты работы в соответствии с ожидаемыми результатами, заложенными в соответствующих программах (желательно в процентах, долях и т.п.)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8557D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19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8557D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(в том числе профессиональное)</w:t>
            </w:r>
          </w:p>
        </w:tc>
        <w:tc>
          <w:tcPr>
            <w:tcW w:w="719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результаты применения здоровьесберегающих технологий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171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10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719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отражаются результаты по снижению заболеваемости, употреблению ПАВ и др. с учетом специфики деятельности </w:t>
            </w:r>
            <w:proofErr w:type="gramStart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8557D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19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8557D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(в том числе профессиональное)</w:t>
            </w:r>
          </w:p>
        </w:tc>
        <w:tc>
          <w:tcPr>
            <w:tcW w:w="719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безопасных условий реализации образовательного процесса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указывается на отсутствие или наличие жалоб, случае травматизма, несчастных случаев Информация по показателю предоставляется обязательно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8557D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55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Показатель: </w:t>
            </w:r>
            <w:r w:rsidRPr="00885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результаты аттестации детей (ЕГЭ, ОГЭ, мониторинги предметных достижений</w:t>
            </w:r>
            <w:proofErr w:type="gramEnd"/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7F7095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095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1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7F7095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095">
              <w:rPr>
                <w:rFonts w:ascii="Times New Roman" w:hAnsi="Times New Roman" w:cs="Times New Roman"/>
                <w:sz w:val="20"/>
                <w:szCs w:val="20"/>
              </w:rPr>
              <w:t>информация не предоставляется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7F7095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095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1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7F7095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095">
              <w:rPr>
                <w:rFonts w:ascii="Times New Roman" w:hAnsi="Times New Roman" w:cs="Times New Roman"/>
                <w:sz w:val="20"/>
                <w:szCs w:val="20"/>
              </w:rPr>
              <w:t>по отдельным должностям и предметам информация не предоставляется,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095">
              <w:rPr>
                <w:rFonts w:ascii="Times New Roman" w:hAnsi="Times New Roman" w:cs="Times New Roman"/>
                <w:sz w:val="20"/>
                <w:szCs w:val="20"/>
              </w:rPr>
              <w:t>в остальных случаях – доля прошедших процедуру аттестации в общем числе проходивших процедуру аттестации, средний ба</w:t>
            </w:r>
            <w:proofErr w:type="gramStart"/>
            <w:r w:rsidRPr="007F7095">
              <w:rPr>
                <w:rFonts w:ascii="Times New Roman" w:hAnsi="Times New Roman" w:cs="Times New Roman"/>
                <w:sz w:val="20"/>
                <w:szCs w:val="20"/>
              </w:rPr>
              <w:t>лл в ср</w:t>
            </w:r>
            <w:proofErr w:type="gramEnd"/>
            <w:r w:rsidRPr="007F7095">
              <w:rPr>
                <w:rFonts w:ascii="Times New Roman" w:hAnsi="Times New Roman" w:cs="Times New Roman"/>
                <w:sz w:val="20"/>
                <w:szCs w:val="20"/>
              </w:rPr>
              <w:t>авнении с муниципальным, средне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095">
              <w:rPr>
                <w:rFonts w:ascii="Times New Roman" w:hAnsi="Times New Roman" w:cs="Times New Roman"/>
                <w:sz w:val="20"/>
                <w:szCs w:val="20"/>
              </w:rPr>
              <w:t>областным и общероссийским значением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7F7095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095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(в том числе профессиональное)</w:t>
            </w:r>
          </w:p>
        </w:tc>
        <w:tc>
          <w:tcPr>
            <w:tcW w:w="71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7F7095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095">
              <w:rPr>
                <w:rFonts w:ascii="Times New Roman" w:hAnsi="Times New Roman" w:cs="Times New Roman"/>
                <w:sz w:val="20"/>
                <w:szCs w:val="20"/>
              </w:rPr>
              <w:t>информация не предоставляется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 III.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активность участия обучающихся в конференциях, интеллектуальных марафонах, олимпиадах, фестиваля, смотрах, конкурсах, выставках, спортивных соревнованиях и др.: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доля обучающихся, в том числе по годам, уровень мероприятий (образовательной организации, муниципальный и т.д.), если есть – наличие побед, призовых мест, </w:t>
            </w:r>
            <w:proofErr w:type="spellStart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лауреатства</w:t>
            </w:r>
            <w:proofErr w:type="spellEnd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proofErr w:type="gramEnd"/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условий для развития индивидуальных способностей обучающихся в процессе их обучения и воспитания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информация о ведении кружков, секций, научных обществ, клубов, разработка </w:t>
            </w:r>
            <w:proofErr w:type="gramStart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и др.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 IV.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владение современными образовательными технологиями, в том чисел ИКТ, совершенствование форм и методов обучения и воспитания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сетевых </w:t>
            </w:r>
            <w:proofErr w:type="spellStart"/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интернет-сообществах</w:t>
            </w:r>
            <w:proofErr w:type="spellEnd"/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 указанием ссылок</w:t>
            </w:r>
            <w:proofErr w:type="gramStart"/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аличие и ведение собственных </w:t>
            </w:r>
            <w:proofErr w:type="spellStart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блогов</w:t>
            </w:r>
            <w:proofErr w:type="spellEnd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, сайтов;</w:t>
            </w:r>
          </w:p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публикаций на сайтах профессиональных </w:t>
            </w:r>
            <w:proofErr w:type="spellStart"/>
            <w:proofErr w:type="gramStart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интернет-сообществ</w:t>
            </w:r>
            <w:proofErr w:type="spellEnd"/>
            <w:proofErr w:type="gramEnd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3-х);</w:t>
            </w:r>
          </w:p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наличие материалов в региональном депозитарии электронных образовательных ресурсов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работе аттестационных, экспертных комиссий, жюри, в судействе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указываются годы и уровни участия (уровень образовательной организации, муниципальный, региональный и др.)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транслирование опыта практических результатов профессиональной деятельности 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указывается, когда и в каких формах был представлен опыт (открытые занятия, выступления, статьи, тезисы, методические материалы и др.) и уровень представления (уровень ОО, муниципальный, региональный и др.)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участие в работе методических объединений педагогических </w:t>
            </w:r>
            <w:proofErr w:type="spellStart"/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работников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методического объединения (образовательной организации, районного и др.), руководство его работой или участие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инновационной (экспериментальной) деятельности (работа на инновационных площадка, в творческих группах, руководство проектами (не детскими) и др.</w:t>
            </w:r>
            <w:proofErr w:type="gramStart"/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казывается уровень деятельности (ОО, муниципальный региональный и т.д.), степень участия (участие, руководство)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профессиональных конкурсах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указывается год, конкурс, его уровень (ОО, муниципальный и т.д.), результаты участия</w:t>
            </w:r>
          </w:p>
        </w:tc>
      </w:tr>
      <w:tr w:rsidR="00541442" w:rsidRPr="00867E50" w:rsidTr="00273C79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541442" w:rsidRPr="00867E50" w:rsidRDefault="00541442" w:rsidP="0027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награды, полученные в </w:t>
            </w:r>
            <w:proofErr w:type="spellStart"/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межаттестационный</w:t>
            </w:r>
            <w:proofErr w:type="spellEnd"/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период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казываются</w:t>
            </w:r>
            <w:proofErr w:type="spellEnd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 год вручения, уровень (ОО, муниципальный и т.д.)</w:t>
            </w:r>
          </w:p>
        </w:tc>
      </w:tr>
    </w:tbl>
    <w:p w:rsidR="00267A8C" w:rsidRDefault="00267A8C" w:rsidP="00E628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833" w:rsidRPr="00E62833" w:rsidRDefault="00E62833" w:rsidP="00E62833">
      <w:pPr>
        <w:shd w:val="clear" w:color="auto" w:fill="FFFFFF"/>
        <w:tabs>
          <w:tab w:val="left" w:pos="-426"/>
        </w:tabs>
        <w:spacing w:after="0" w:line="240" w:lineRule="auto"/>
        <w:ind w:left="-851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Основания для установления </w:t>
      </w:r>
      <w:r w:rsidRPr="00E6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высшей</w:t>
      </w: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квалификационной категории</w:t>
      </w:r>
    </w:p>
    <w:p w:rsidR="00E62833" w:rsidRPr="00E62833" w:rsidRDefault="00E62833" w:rsidP="00E62833">
      <w:pPr>
        <w:numPr>
          <w:ilvl w:val="0"/>
          <w:numId w:val="2"/>
        </w:numPr>
        <w:shd w:val="clear" w:color="auto" w:fill="FFFFFF"/>
        <w:tabs>
          <w:tab w:val="left" w:pos="-426"/>
        </w:tabs>
        <w:spacing w:after="0" w:line="240" w:lineRule="auto"/>
        <w:ind w:left="-851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</w:t>
      </w:r>
      <w:proofErr w:type="gramStart"/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положительной динамики результатов освоения образовательных программ по итогам мониторингов, проводимых образовательной организацией;</w:t>
      </w:r>
    </w:p>
    <w:p w:rsidR="00E62833" w:rsidRPr="00E62833" w:rsidRDefault="00E62833" w:rsidP="00E62833">
      <w:pPr>
        <w:numPr>
          <w:ilvl w:val="0"/>
          <w:numId w:val="2"/>
        </w:numPr>
        <w:shd w:val="clear" w:color="auto" w:fill="FFFFFF"/>
        <w:tabs>
          <w:tab w:val="left" w:pos="-426"/>
        </w:tabs>
        <w:spacing w:after="0" w:line="240" w:lineRule="auto"/>
        <w:ind w:left="-851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662;</w:t>
      </w:r>
    </w:p>
    <w:p w:rsidR="00E62833" w:rsidRPr="00E62833" w:rsidRDefault="00E62833" w:rsidP="00E62833">
      <w:pPr>
        <w:numPr>
          <w:ilvl w:val="0"/>
          <w:numId w:val="2"/>
        </w:numPr>
        <w:shd w:val="clear" w:color="auto" w:fill="FFFFFF"/>
        <w:tabs>
          <w:tab w:val="left" w:pos="-426"/>
        </w:tabs>
        <w:spacing w:after="0" w:line="240" w:lineRule="auto"/>
        <w:ind w:left="-851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соревнованиях;</w:t>
      </w:r>
    </w:p>
    <w:p w:rsidR="00E62833" w:rsidRPr="00E62833" w:rsidRDefault="00E62833" w:rsidP="00E62833">
      <w:pPr>
        <w:numPr>
          <w:ilvl w:val="0"/>
          <w:numId w:val="2"/>
        </w:numPr>
        <w:shd w:val="clear" w:color="auto" w:fill="FFFFFF"/>
        <w:tabs>
          <w:tab w:val="left" w:pos="-426"/>
        </w:tabs>
        <w:spacing w:after="0" w:line="240" w:lineRule="auto"/>
        <w:ind w:left="-851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вклад в повышение качества образования, совершенствование методов обучения и воспитания,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E62833" w:rsidRPr="00E62833" w:rsidRDefault="00E62833" w:rsidP="00E62833">
      <w:pPr>
        <w:numPr>
          <w:ilvl w:val="0"/>
          <w:numId w:val="2"/>
        </w:numPr>
        <w:shd w:val="clear" w:color="auto" w:fill="FFFFFF"/>
        <w:tabs>
          <w:tab w:val="left" w:pos="-426"/>
        </w:tabs>
        <w:spacing w:after="0" w:line="240" w:lineRule="auto"/>
        <w:ind w:left="-851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E62833" w:rsidRPr="00E62833" w:rsidRDefault="00E62833" w:rsidP="00E62833">
      <w:pPr>
        <w:shd w:val="clear" w:color="auto" w:fill="FFFFFF"/>
        <w:tabs>
          <w:tab w:val="left" w:pos="-426"/>
        </w:tabs>
        <w:spacing w:after="0" w:line="240" w:lineRule="auto"/>
        <w:ind w:left="-851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2833" w:rsidRPr="00E62833" w:rsidRDefault="00E62833" w:rsidP="00E62833">
      <w:pPr>
        <w:shd w:val="clear" w:color="auto" w:fill="FFFFFF"/>
        <w:tabs>
          <w:tab w:val="left" w:pos="-426"/>
        </w:tabs>
        <w:spacing w:after="0" w:line="240" w:lineRule="auto"/>
        <w:ind w:left="-851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Обращаем ваше внимание, что критерии для установления первой и высшей квалификационной категории существенно отличаются, во-первых, по количеству, во-вторых, по формулировкам. </w:t>
      </w:r>
      <w:proofErr w:type="gramStart"/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критерии для установления первой квалификационной категории направлены на выявление стабильных положительных результатов профессиональной деятельности, фиксацию владения современными образовательными технологиями, выполнение определенных видов деятельности (методическая, инновационная, участие в конкурсах и др.), в то время как критерии для установления высшей квалификационной категории направлены на выявление положительной динамики работы педагогов или фиксацию высоких стабильных положительных результатов, оценку результативности отдельных видов деятельности</w:t>
      </w:r>
      <w:proofErr w:type="gramEnd"/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(результативность применения современных образовательных технологий, методической работы инновационной деятельности, участия в конкурсах и т.д.)</w:t>
      </w:r>
    </w:p>
    <w:p w:rsidR="00E62833" w:rsidRPr="00E62833" w:rsidRDefault="00E62833" w:rsidP="00E62833">
      <w:pPr>
        <w:shd w:val="clear" w:color="auto" w:fill="FFFFFF"/>
        <w:tabs>
          <w:tab w:val="left" w:pos="-426"/>
        </w:tabs>
        <w:spacing w:after="0" w:line="240" w:lineRule="auto"/>
        <w:ind w:left="-851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62833" w:rsidRPr="00E62833" w:rsidRDefault="00E62833" w:rsidP="00E62833">
      <w:pPr>
        <w:shd w:val="clear" w:color="auto" w:fill="FFFFFF"/>
        <w:tabs>
          <w:tab w:val="left" w:pos="-426"/>
        </w:tabs>
        <w:spacing w:after="0" w:line="240" w:lineRule="auto"/>
        <w:ind w:left="-851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 необходимо </w:t>
      </w:r>
      <w:r w:rsidRPr="00E6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четко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 </w:t>
      </w: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</w:t>
      </w: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деятельности за </w:t>
      </w:r>
      <w:proofErr w:type="spellStart"/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межаттестационный</w:t>
      </w:r>
      <w:proofErr w:type="spellEnd"/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в соответствии с должностью и категорией, указанными в заявлении, последовательно раскрывая информацию в соответствии с критериями и показателями.</w:t>
      </w:r>
    </w:p>
    <w:p w:rsidR="00E62833" w:rsidRPr="00E62833" w:rsidRDefault="00E62833" w:rsidP="00E62833">
      <w:pPr>
        <w:shd w:val="clear" w:color="auto" w:fill="FFFFFF"/>
        <w:tabs>
          <w:tab w:val="left" w:pos="-426"/>
        </w:tabs>
        <w:spacing w:after="0" w:line="240" w:lineRule="auto"/>
        <w:ind w:left="-851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примерное содержание информации в заявлении, которая может отражать результаты работы по критериям и показателям для установления высшей квалификационной категорий.</w:t>
      </w:r>
    </w:p>
    <w:p w:rsidR="002728CC" w:rsidRDefault="002728CC" w:rsidP="003C7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E50" w:rsidRPr="003C73CB" w:rsidRDefault="00867E50" w:rsidP="003C7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3CB">
        <w:rPr>
          <w:rFonts w:ascii="Times New Roman" w:hAnsi="Times New Roman" w:cs="Times New Roman"/>
          <w:b/>
          <w:bCs/>
          <w:sz w:val="28"/>
          <w:szCs w:val="28"/>
        </w:rPr>
        <w:t>Примерное содержание заявления</w:t>
      </w:r>
    </w:p>
    <w:p w:rsidR="00867E50" w:rsidRPr="003C73CB" w:rsidRDefault="00867E50" w:rsidP="003C7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3CB">
        <w:rPr>
          <w:rFonts w:ascii="Times New Roman" w:hAnsi="Times New Roman" w:cs="Times New Roman"/>
          <w:b/>
          <w:bCs/>
          <w:sz w:val="28"/>
          <w:szCs w:val="28"/>
        </w:rPr>
        <w:t>на высшую квалификационную категорию</w:t>
      </w:r>
    </w:p>
    <w:p w:rsidR="00867E50" w:rsidRPr="00867E50" w:rsidRDefault="00867E50" w:rsidP="00867E50">
      <w:pPr>
        <w:rPr>
          <w:rFonts w:ascii="Times New Roman" w:hAnsi="Times New Roman" w:cs="Times New Roman"/>
          <w:sz w:val="24"/>
          <w:szCs w:val="24"/>
        </w:rPr>
      </w:pPr>
      <w:r w:rsidRPr="00867E5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788" w:type="dxa"/>
        <w:tblCellSpacing w:w="15" w:type="dxa"/>
        <w:tblInd w:w="-873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4F8F8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73"/>
        <w:gridCol w:w="6915"/>
      </w:tblGrid>
      <w:tr w:rsidR="00867E50" w:rsidRPr="00867E50" w:rsidTr="003C73CB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6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Примерное содержание информации в заявлении</w:t>
            </w: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5C1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 I. Достижение </w:t>
            </w:r>
            <w:proofErr w:type="gramStart"/>
            <w:r w:rsidRPr="0086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86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положительной динамики результатов освоения образовательных программ по итогам мониторингов, проводимых образовательной организацией</w:t>
            </w:r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5C1565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65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68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отражаются результаты за весь </w:t>
            </w:r>
            <w:proofErr w:type="spellStart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 период (желательно по годам, в числовом выражении (проценты, баллы и др.)</w:t>
            </w:r>
            <w:proofErr w:type="gramEnd"/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87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vAlign w:val="center"/>
            <w:hideMark/>
          </w:tcPr>
          <w:p w:rsidR="00867E50" w:rsidRPr="00867E50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(в том числе профессиональное)</w:t>
            </w:r>
          </w:p>
        </w:tc>
        <w:tc>
          <w:tcPr>
            <w:tcW w:w="687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vAlign w:val="center"/>
            <w:hideMark/>
          </w:tcPr>
          <w:p w:rsidR="00867E50" w:rsidRPr="00867E50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5C1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 II.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</w:t>
            </w: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обеспечение доступности общего образования и сохранение численности контингента, обучающегося по программам дополнительного образования</w:t>
            </w:r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5C1565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65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6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отражается динамика роста числа обучающихся, охваченных дополнительными общеразвивающими программами для детей дошкольного возраста, в том числе детей, не посещающих ДОО</w:t>
            </w:r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отражается динамика роста числа детей, охваченных дополнительными общеобразовательными программами, программами внеурочной деятельности т др., в том числе детей с особыми образовательными потребностями</w:t>
            </w:r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(в том числе профессиональное)</w:t>
            </w:r>
          </w:p>
        </w:tc>
        <w:tc>
          <w:tcPr>
            <w:tcW w:w="6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 xml:space="preserve">отражается динамика роста числа </w:t>
            </w:r>
            <w:proofErr w:type="gramStart"/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, осваивающих дополнительные образовательные программы</w:t>
            </w: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информационное обеспечение образовательного процесса, в том числе размещение материалов на сайте ОО</w:t>
            </w:r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5C1565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65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68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деятельность осуществляется систематически или периодически;</w:t>
            </w:r>
            <w:r w:rsidR="00802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ОО, подготовка информационных стендов, школьных газет и иные способы информирования об образовательном процессе, в том числе ведение электронного журнала, электронного дневника и т.д.</w:t>
            </w:r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87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vAlign w:val="center"/>
            <w:hideMark/>
          </w:tcPr>
          <w:p w:rsidR="00867E50" w:rsidRPr="00867E50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(в том числе профессиональное)</w:t>
            </w:r>
          </w:p>
        </w:tc>
        <w:tc>
          <w:tcPr>
            <w:tcW w:w="687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vAlign w:val="center"/>
            <w:hideMark/>
          </w:tcPr>
          <w:p w:rsidR="00867E50" w:rsidRPr="00867E50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результаты реализации педагогом коррекционных программ или программ работы с одаренными детьми, программ индивидуальной работы и т.д.</w:t>
            </w:r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5C1565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65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68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отражаются результаты работы в соответствии с ожидаемыми результатами, заложенными в соответствующих программах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(желательно в процентах, долях и т.п.)</w:t>
            </w:r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87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vAlign w:val="center"/>
            <w:hideMark/>
          </w:tcPr>
          <w:p w:rsidR="00867E50" w:rsidRPr="00867E50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Дополнительное образование (в том числе профессиональное)</w:t>
            </w:r>
          </w:p>
        </w:tc>
        <w:tc>
          <w:tcPr>
            <w:tcW w:w="687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vAlign w:val="center"/>
            <w:hideMark/>
          </w:tcPr>
          <w:p w:rsidR="00867E50" w:rsidRPr="00867E50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Показатель: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результаты применения здоровьесберегающих технологий</w:t>
            </w:r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5C1565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65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68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отражаются результаты по снижению заболеваемости, употреблению ПАВ и др. с учетом специфики деятельности </w:t>
            </w:r>
            <w:proofErr w:type="gramStart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87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vAlign w:val="center"/>
            <w:hideMark/>
          </w:tcPr>
          <w:p w:rsidR="00867E50" w:rsidRPr="00867E50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(в том числе профессиональное)</w:t>
            </w:r>
          </w:p>
        </w:tc>
        <w:tc>
          <w:tcPr>
            <w:tcW w:w="687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vAlign w:val="center"/>
            <w:hideMark/>
          </w:tcPr>
          <w:p w:rsidR="00867E50" w:rsidRPr="00867E50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безопасных условий реализации образовательного процесса</w:t>
            </w:r>
            <w:r w:rsidR="00243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C73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казывается на отсутствие или наличие жалоб, случае травматизма, несчастных случаев Информация по показателю предоставляется обязательно</w:t>
            </w: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результаты аттестации детей (ЕГЭ, ОГЭ, мониторинги предметных достижений</w:t>
            </w:r>
            <w:proofErr w:type="gramEnd"/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6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информация не предоставляется</w:t>
            </w:r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по отдельным должностям и предметам информация не предоставляется</w:t>
            </w:r>
            <w:proofErr w:type="gramStart"/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8557D">
              <w:rPr>
                <w:rFonts w:ascii="Times New Roman" w:hAnsi="Times New Roman" w:cs="Times New Roman"/>
                <w:sz w:val="20"/>
                <w:szCs w:val="20"/>
              </w:rPr>
              <w:t xml:space="preserve"> остальных случаях – доля прошедших процедуру аттестации в общем числе проходивших процедуру аттестации, средний балл в сравнении с муниципальным, </w:t>
            </w:r>
            <w:proofErr w:type="spellStart"/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среднеобластным</w:t>
            </w:r>
            <w:proofErr w:type="spellEnd"/>
            <w:r w:rsidRPr="0088557D">
              <w:rPr>
                <w:rFonts w:ascii="Times New Roman" w:hAnsi="Times New Roman" w:cs="Times New Roman"/>
                <w:sz w:val="20"/>
                <w:szCs w:val="20"/>
              </w:rPr>
              <w:t xml:space="preserve"> и общероссийским значением</w:t>
            </w:r>
          </w:p>
        </w:tc>
      </w:tr>
      <w:tr w:rsidR="00867E50" w:rsidRPr="00867E50" w:rsidTr="0088557D">
        <w:trPr>
          <w:tblCellSpacing w:w="15" w:type="dxa"/>
        </w:trPr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(в том числе профессиональное)</w:t>
            </w:r>
          </w:p>
        </w:tc>
        <w:tc>
          <w:tcPr>
            <w:tcW w:w="6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8557D" w:rsidRDefault="00867E50" w:rsidP="003C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7D">
              <w:rPr>
                <w:rFonts w:ascii="Times New Roman" w:hAnsi="Times New Roman" w:cs="Times New Roman"/>
                <w:sz w:val="20"/>
                <w:szCs w:val="20"/>
              </w:rPr>
              <w:t>информация не предоставляется</w:t>
            </w:r>
          </w:p>
        </w:tc>
        <w:bookmarkStart w:id="0" w:name="_GoBack"/>
        <w:bookmarkEnd w:id="0"/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 III. Выявление и развитие у обучающихся способностей к научной (интеллектуальной), творческой, физкультурно-спортивной деятельности, а также их участие в олимпиадах</w:t>
            </w: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результативность участия обучающихся в конференциях, интеллектуальных марафонах, олимпиадах, фестивалях, смотрах, конкурсах, выставках, спортивных соревнованиях и др.</w:t>
            </w:r>
            <w:r w:rsidR="00243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указываются результаты участия обучающихся, в том числе по годам, уровень мероприятий (образовательной организации, муниципальный и т.д.), доля обучающихся, принимающих участие в данных мероприятиях по годам</w:t>
            </w:r>
            <w:proofErr w:type="gramEnd"/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 IV. 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результативность использования современных образовательных технологий, в том числе ИКТ, совершенствования форм и методов обучения и воспитания</w:t>
            </w:r>
            <w:r w:rsidR="00243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Отражается результативность использования СОТ, желательно в процентах, баллах и т.д.</w:t>
            </w: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</w:t>
            </w:r>
            <w:proofErr w:type="gramStart"/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сетевых</w:t>
            </w:r>
            <w:proofErr w:type="gramEnd"/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интернет-сообществах (с указанием ссылок)</w:t>
            </w:r>
            <w:r w:rsidR="00243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наличие и ведение собственных блогов, сайтов;</w:t>
            </w:r>
          </w:p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публикаций на сайтах профессиональных </w:t>
            </w:r>
            <w:proofErr w:type="gramStart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интернет-сообществ</w:t>
            </w:r>
            <w:proofErr w:type="gramEnd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3-х);</w:t>
            </w:r>
          </w:p>
          <w:p w:rsidR="00651B79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наличие материалов в региональном депозитарии электронных образовательных ресурсов</w:t>
            </w: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инновационной (экспериментальной) деятельности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отражается работа на инновационных площадках, в творческих группах, руководство проектами (не детскими) и т.д. с указанием уровня (ОО, муниципальный и т.д.) и степени участия (руководство, участие) и кратким описанием результатов</w:t>
            </w:r>
            <w:proofErr w:type="gramEnd"/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работе аттестационных, экспертных комиссий, жюри, в судействе</w:t>
            </w:r>
            <w:r w:rsidR="00243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указываются годы и уровни участия (уровень образовательной организации, муниципальный, региональный и др.)</w:t>
            </w: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транслирование опыта практических результатов профессиональной деятельности 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указывается, когда и в каких формах был представлен опыт (открытые занятия,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выступления, статьи, тезисы, методические материалы и др.) и уровень представления (уровень ОО, муниципальный, региональный и др.)</w:t>
            </w: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Показатель: </w:t>
            </w:r>
            <w:proofErr w:type="gramStart"/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награды, полученные в </w:t>
            </w:r>
            <w:proofErr w:type="spellStart"/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межаттестационный</w:t>
            </w:r>
            <w:proofErr w:type="spellEnd"/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период</w:t>
            </w:r>
            <w:r w:rsidR="00243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gramEnd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 год вручения, уровень (ОО, муниципальный и т.д.)</w:t>
            </w: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 V. 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работе методических объединений педагогических работников</w:t>
            </w:r>
            <w:r w:rsidR="00243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указывается уровень методического объединения (образовательной организации, районного и др.), руководство его работой или участие</w:t>
            </w:r>
            <w:r w:rsidR="002436A1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</w:t>
            </w: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</w:t>
            </w:r>
            <w:r w:rsidR="00243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отражается наличие личных программно-методических разработок (с внешней рецензией)</w:t>
            </w:r>
          </w:p>
          <w:p w:rsidR="00651B79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рабочих группах по разработке программно-методического обеспечения с указанием уровня (ОО, </w:t>
            </w:r>
            <w:proofErr w:type="gramStart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867E50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</w:tr>
      <w:tr w:rsidR="00867E50" w:rsidRPr="00867E50" w:rsidTr="003C73CB">
        <w:trPr>
          <w:tblCellSpacing w:w="15" w:type="dxa"/>
        </w:trPr>
        <w:tc>
          <w:tcPr>
            <w:tcW w:w="107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867E50" w:rsidRPr="00867E50" w:rsidRDefault="00867E50" w:rsidP="0088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Показатель: </w:t>
            </w:r>
            <w:r w:rsidRPr="00867E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результативность участия в профессиональных конкурсах</w:t>
            </w:r>
            <w:r w:rsidR="00243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7E50">
              <w:rPr>
                <w:rFonts w:ascii="Times New Roman" w:hAnsi="Times New Roman" w:cs="Times New Roman"/>
                <w:sz w:val="24"/>
                <w:szCs w:val="24"/>
              </w:rPr>
              <w:t>указывается год, конкурс, его уровень (ОО, муниципальный и т.д.), результаты участия</w:t>
            </w:r>
          </w:p>
        </w:tc>
      </w:tr>
    </w:tbl>
    <w:p w:rsidR="00867E50" w:rsidRPr="00867E50" w:rsidRDefault="00867E50" w:rsidP="003C7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E50">
        <w:rPr>
          <w:rFonts w:ascii="Times New Roman" w:hAnsi="Times New Roman" w:cs="Times New Roman"/>
          <w:sz w:val="24"/>
          <w:szCs w:val="24"/>
        </w:rPr>
        <w:t> </w:t>
      </w:r>
    </w:p>
    <w:p w:rsidR="00383FFA" w:rsidRDefault="00383FFA" w:rsidP="003C73CB">
      <w:pPr>
        <w:spacing w:after="0" w:line="240" w:lineRule="auto"/>
      </w:pPr>
    </w:p>
    <w:sectPr w:rsidR="00383FFA" w:rsidSect="007F709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073F"/>
    <w:multiLevelType w:val="hybridMultilevel"/>
    <w:tmpl w:val="4940B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8B1B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D639F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CAE28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AEEA6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48715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680D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DE1BE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A450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1275D25"/>
    <w:multiLevelType w:val="multilevel"/>
    <w:tmpl w:val="4568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702BC"/>
    <w:multiLevelType w:val="multilevel"/>
    <w:tmpl w:val="18EE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67E50"/>
    <w:rsid w:val="002436A1"/>
    <w:rsid w:val="00267A8C"/>
    <w:rsid w:val="002728CC"/>
    <w:rsid w:val="003346E2"/>
    <w:rsid w:val="00383FFA"/>
    <w:rsid w:val="003C73CB"/>
    <w:rsid w:val="00446FD6"/>
    <w:rsid w:val="004618E9"/>
    <w:rsid w:val="004A272B"/>
    <w:rsid w:val="00541442"/>
    <w:rsid w:val="005C1565"/>
    <w:rsid w:val="00651B79"/>
    <w:rsid w:val="007F7095"/>
    <w:rsid w:val="00802EC4"/>
    <w:rsid w:val="00861710"/>
    <w:rsid w:val="00867E50"/>
    <w:rsid w:val="0088557D"/>
    <w:rsid w:val="008A0D53"/>
    <w:rsid w:val="00C94466"/>
    <w:rsid w:val="00D53E81"/>
    <w:rsid w:val="00E62833"/>
    <w:rsid w:val="00F7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833"/>
    <w:rPr>
      <w:b/>
      <w:bCs/>
    </w:rPr>
  </w:style>
  <w:style w:type="character" w:styleId="a5">
    <w:name w:val="Emphasis"/>
    <w:basedOn w:val="a0"/>
    <w:uiPriority w:val="20"/>
    <w:qFormat/>
    <w:rsid w:val="00E62833"/>
    <w:rPr>
      <w:i/>
      <w:iCs/>
    </w:rPr>
  </w:style>
  <w:style w:type="table" w:styleId="a6">
    <w:name w:val="Table Grid"/>
    <w:basedOn w:val="a1"/>
    <w:uiPriority w:val="59"/>
    <w:rsid w:val="0026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67A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4144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53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kuz-edu.ru/zayavka/" TargetMode="External"/><Relationship Id="rId13" Type="http://schemas.openxmlformats.org/officeDocument/2006/relationships/hyperlink" Target="mailto:kemocpo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302\Downloads\https" TargetMode="External"/><Relationship Id="rId12" Type="http://schemas.openxmlformats.org/officeDocument/2006/relationships/hyperlink" Target="mailto:kemocpom@ma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pk/kuz-edu.ru" TargetMode="External"/><Relationship Id="rId11" Type="http://schemas.openxmlformats.org/officeDocument/2006/relationships/hyperlink" Target="mailto:kemocpom@mail.ru" TargetMode="External"/><Relationship Id="rId5" Type="http://schemas.openxmlformats.org/officeDocument/2006/relationships/hyperlink" Target="http://&#1086;&#1073;&#1088;&#1072;&#1079;&#1086;&#1074;&#1072;&#1085;&#1080;&#1077;42.&#1088;&#1092;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emocpo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kuz-edu.ru/zayavka/" TargetMode="External"/><Relationship Id="rId14" Type="http://schemas.openxmlformats.org/officeDocument/2006/relationships/hyperlink" Target="mailto:kemocp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Лариса</cp:lastModifiedBy>
  <cp:revision>16</cp:revision>
  <cp:lastPrinted>2019-01-17T09:37:00Z</cp:lastPrinted>
  <dcterms:created xsi:type="dcterms:W3CDTF">2015-04-21T09:56:00Z</dcterms:created>
  <dcterms:modified xsi:type="dcterms:W3CDTF">2020-12-19T05:49:00Z</dcterms:modified>
</cp:coreProperties>
</file>